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28678287" w:rsidR="00187079" w:rsidRPr="00D325C9" w:rsidRDefault="003E13F0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OOAPAS NUMARAN</w:t>
      </w:r>
    </w:p>
    <w:p w14:paraId="5B8F0A38" w14:textId="5BCDF8A8" w:rsidR="00737D30" w:rsidRPr="00D325C9" w:rsidRDefault="003E13F0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2018-2021</w:t>
      </w:r>
    </w:p>
    <w:p w14:paraId="1987E102" w14:textId="4ADA355D" w:rsidR="00187079" w:rsidRPr="00D325C9" w:rsidRDefault="003E13F0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 TRIMESTRE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18B67F38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761,961.56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Setecientos Sesenta y Un Mil Novecientos Sesenta y Un Pesos 56/100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11F5C2C6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3E13F0">
        <w:rPr>
          <w:rFonts w:ascii="Arial" w:hAnsi="Arial" w:cs="Arial"/>
          <w:b/>
          <w:bCs/>
          <w:sz w:val="20"/>
          <w:szCs w:val="20"/>
        </w:rPr>
        <w:t>246,572.18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Doscientos Cuarenta y Seis Mil Quinientos Setenta y Dos Pesos 18/100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1A491699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462,277.94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3E13F0">
        <w:rPr>
          <w:rFonts w:ascii="Arial" w:hAnsi="Arial" w:cs="Arial"/>
          <w:b/>
          <w:bCs/>
          <w:sz w:val="20"/>
          <w:szCs w:val="20"/>
        </w:rPr>
        <w:t>Cuatrocientos Sesenta y Dos Mil Doscientos Setenta y Siete Pesos 94/100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0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700A4037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7C572843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1CB59DCE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0C06E9B4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53,111.44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Cincuenta y Tres Mil Ciento Once Pesos 44/100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lastRenderedPageBreak/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3F389BA3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727CC357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2,457,673.07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Dos Millones Cuatrocientos Cincuenta y Siete Mil Seiscientos Setenta y Tres Pesos 07/100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7A702D3A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meses. </w:t>
      </w:r>
    </w:p>
    <w:p w14:paraId="697D4D6A" w14:textId="5415D70B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38AEE697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201,957.49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Doscientos Un Mil Novecientos Cincuenta y Siete Pesos 49/100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35B9B7C2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1FCB1672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3A96D506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18AF72AA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2,255,715.58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Dos Millones Doscientos Cincuenta y Cinco Mil Setecientos Quince Pesos 58/100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>el monto de los derechos de cobro originados en el desarrollo de las actividades del ente público, de los cuales se espera 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54697CC2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69,969.78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Sesenta y Nueve Mil Novecientos Sesenta y Nueve Pesos 78/100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32587A1F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69,969.78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Sesenta y Nueve Mil Novecientos Sesenta y Nueve Pesos 78/100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4B368326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6F4DD641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68F51AFD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472AB778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3173BF3B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40546F52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1ADB97CD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0D11A400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7FAC0167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14B3467A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6BC8074A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777EC3ED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1A91CC78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0C9E8401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62F47AC2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3F6D59A9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1F684ECB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parciales para afianzar o asegurar el cobro, </w:t>
      </w:r>
      <w:r w:rsidR="00D43794" w:rsidRPr="00D325C9">
        <w:rPr>
          <w:sz w:val="20"/>
        </w:rPr>
        <w:t>ya sean valores en garantía de arrendamiento y/o valores en 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60B2E674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6082E8A7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6CCECFF9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5628E4D9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0EAB4009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5C6EAE7C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1B0B0473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50EC2486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69FE566E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 xml:space="preserve">los derechos de cobro originados en el desarrollo de las actividades del ente público, de los cuales se </w:t>
      </w:r>
      <w:r w:rsidR="00BC3EF9" w:rsidRPr="00D325C9">
        <w:rPr>
          <w:sz w:val="20"/>
        </w:rPr>
        <w:lastRenderedPageBreak/>
        <w:t>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0326810D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7AB408A4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responsabilidades y gastos por comprobar, entre otros, que serán exigibles en un plazo mayor a doce meses. </w:t>
      </w:r>
    </w:p>
    <w:p w14:paraId="7EAE32C1" w14:textId="1FA02EF6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4D2B882B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5ED86BEF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4D98C4B7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48ED2E5F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6539879C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01B435C4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</w:t>
      </w:r>
      <w:r w:rsidR="00E75C8C" w:rsidRPr="00D325C9">
        <w:rPr>
          <w:sz w:val="20"/>
        </w:rPr>
        <w:lastRenderedPageBreak/>
        <w:t>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5422AEE2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0BC521C1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63BD7190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4D302612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49C70EB0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201,698.08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Doscientos Un Mil Seiscientos Noventa y Ocho Pesos 08/100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>el cual se constituye del 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25824401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56,623.47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Cincuenta y Seis Mil Seiscientos Veintitres Pesos 47/100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de arte, objetos valiosos y otros elementos coleccionables. Así como también las refacciones mayores correspondientes a este concepto. Incluye los pagos por adjudicación, expropiación e indemnización de bienes muebles a favor del Gobierno. </w:t>
      </w:r>
    </w:p>
    <w:p w14:paraId="4B245B1A" w14:textId="4E523704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3,439.65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Tres Mil Cuatrocientos Treinta y Nueve Pesos 65/100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207BB8C6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7A832A82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ferroviario, aéreo, aeroespacial, marítimo, lacustre, fluvial y auxiliar de transporte. Incluye refacciones y accesorios mayores correspondientes a estos activos. </w:t>
      </w:r>
    </w:p>
    <w:p w14:paraId="7FAF8AFA" w14:textId="5EEA972B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0AB1A02E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3E13F0">
        <w:rPr>
          <w:b/>
          <w:bCs/>
          <w:sz w:val="20"/>
        </w:rPr>
        <w:t>141,634.96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Ciento Cuarenta y Un Mil Seiscientos Treinta y Cuatro Pesos 96/100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52C25C1A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6D8BEBDD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2E1E99C4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8,256.00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Ocho Mil Doscientos Cincuenta y Seis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4B1F770F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260B9FE5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4D39C191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19FA1F20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8,256.00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Ocho Mil Doscientos Cincuenta y Seis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51F234B0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23A8DB4B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</w:t>
      </w:r>
      <w:r w:rsidR="00A77A0F" w:rsidRPr="00D325C9">
        <w:rPr>
          <w:sz w:val="20"/>
        </w:rPr>
        <w:lastRenderedPageBreak/>
        <w:t>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515A40CD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5DF557A3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07EB0579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25DFC483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1C5BF8A2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7B493B4A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59891B30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6F70827B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73433741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29A8F57F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recepción parcial o total de bienes o prestación de servicios, que serán exigibles en un plazo mayor a doce meses. </w:t>
      </w:r>
    </w:p>
    <w:p w14:paraId="46846E08" w14:textId="491C0675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de las erogaciones pagadas por anticipado provenientes de planes de pensiones, primas de antigüedad e indemnizaciones, por jubilación o por retiro. </w:t>
      </w:r>
    </w:p>
    <w:p w14:paraId="617DF8DA" w14:textId="48E38E0C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0A226BD2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072D7D75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3287E89C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177B9966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27B6FC25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5EE60434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7609FEA8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3E13F0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arrendamiento financiero y/o comodato, así como derechos a favor del ente público, cuyo beneficio se recibirá en un período mayor a doce meses. </w:t>
      </w:r>
    </w:p>
    <w:p w14:paraId="161C293C" w14:textId="269B3D03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7C7CB80F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7329365D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3E13F0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3E13F0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19BA9836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2,004,796.05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Dos Millones Cuatro Mil Setecientos Noventa y Seis Pesos 05/100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a Corto Plazo, Retenciones y Contribuciones por Pagar a Corto Plazo, Devoluciones de la Ley de Ingresos por Pagar a Corto Plazo y Otras Cuentas por Pagar a Corto Plazo. </w:t>
      </w:r>
    </w:p>
    <w:p w14:paraId="7B84B3F8" w14:textId="2FAA4834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38,408.63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Treinta y Ocho Mil Cuatrocientos Ocho Pesos 63/100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0951C712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644,984.08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Seiscientos Cuarenta y Cuatro Mil Novecientos Ochenta y Cuatro Pesos 08/100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51665AC5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6EEB8A35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11,428.32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Once Mil Cuatrocientos Veintiocho Pesos 32/100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6A2542E6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1EDA93D8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564CF16C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668,844.58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Seiscientos Sesenta y Ocho Mil Ochocientos Cuarenta y Cuatro Pesos 58/100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7B2313C1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5F48CBDB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641,130.44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Seiscientos Cuarenta y Un Mil Ciento Treinta Pesos 44/100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1ED34FE2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3,437.70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Tres Mil Cuatrocientos Treinta y Siete Pesos 70/100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077759F8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3,437.70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Tres Mil Cuatrocientos Treinta y Siete Pesos 70/100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4FB0D842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5F359A60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2AFB274B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5F6D23FC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7236B0E9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041415B3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4C51DC74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0D8E0D8C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6F22E074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321101D5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0B2AADFE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68611E34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215B4DAF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2AA4D173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58E9C262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456250A5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0CF17483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71239ADD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78B23D9A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73D2FF53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cumplimiento de obligaciones contractuales o legales que, eventualmente se tendrán que devolver a su titular en un plazo menor o igual a doce meses. </w:t>
      </w:r>
    </w:p>
    <w:p w14:paraId="7203D709" w14:textId="09C7109C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3AC54A24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783610CD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a cargo del ente público, originadas por contingencias, cuya exactitud del valor depende de un hecho futuro; estas obligaciones 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552979A4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33F722FB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73700CAB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50B09A5A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301A7934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7EFC853E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6608A2FA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lastRenderedPageBreak/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32D53758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1EF9DDB1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11960483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0011BB3F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48EAF99A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76B1E074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73475632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53B3CF75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contraídas por el ente 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4F2E63B7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0960512C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4BAE20B7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4AC37A49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37CEDB46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08F0D278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4774F992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2A98C4F3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5A7C11FD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632B1339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19357927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5FF8D94E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5492FCC8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4E1AF80F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07716F03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05E06A73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2B3D0F6C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6CFB7851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13170F0A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417BF1F1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7BEA91AC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4F6CB52B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1070E117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853.35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Ochocientos Cincuenta y Tres Pesos 35/100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01E33B55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0B97F72E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37.04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Treinta y Siete Pesos 04/100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0A344B93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993,480.26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Novecientos Noventa y Tres Mil Cuatrocientos Ochenta Pesos 26/100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lastRenderedPageBreak/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090C2AE7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46CFF372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31684A85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472A84B8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76733CE0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1C4E7560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3C0C2A9A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 otros ingresos y beneficios varios no incluidos en los rubros anteriores, obtenidos por los entes públicos, como es la utilidad por venta de bienes inmuebles, muebles e intangibles, entre otros; asimismo, considera los otros ingresos </w:t>
      </w:r>
      <w:r w:rsidRPr="00D325C9">
        <w:rPr>
          <w:rFonts w:ascii="Arial" w:hAnsi="Arial" w:cs="Arial"/>
          <w:sz w:val="20"/>
          <w:szCs w:val="20"/>
        </w:rPr>
        <w:lastRenderedPageBreak/>
        <w:t>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34870465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994,370.65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Novecientos Noventa y Cuatro Mil Trescientos Setenta Pesos 65/100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10ADBB29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108,320.99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Ciento Ocho Mil Trescientos Veinte Pesos 99/100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54772BC2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30,135.84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Treinta Mil Ciento Treinta y Cinco Pesos 84/100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4E4000C0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161,721.09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Ciento Sesenta y Un Mil Setecientos Veintiun Pesos 09/100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54D3A73F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0DC87D7E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transferencias destinadas, a entes públicos que no forman parte del presupuesto de egresos, otorgados por otros, con el objeto de sufragar gastos inherentes a sus atribuciones. </w:t>
      </w:r>
    </w:p>
    <w:p w14:paraId="1FDFCD3D" w14:textId="156D6C1B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417F7B8D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4EADF63D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44B613DA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4D04DB8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3CDF2D0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6B4B48C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421D87F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Municipios que se derivan del Sistema Nacional de Coordinación Fiscal, así como las que correspondan a sistemas Estatales de coordinación fiscal determinados por las leyes correspondientes. </w:t>
      </w:r>
    </w:p>
    <w:p w14:paraId="69D6CC97" w14:textId="5311DC3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185229C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25E1E27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financiamientos contratados a plazo con instituciones nacionales, privadas y mixtas de crédito y con otros acreedores. </w:t>
      </w:r>
    </w:p>
    <w:p w14:paraId="64ECD159" w14:textId="6CC37F6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001BB93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3986D3E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62D3020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14168F8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2B96760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3F6FAAA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22BBB61A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3AB7717B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291047F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7001373D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7433B629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300,177.92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Trescientos Mil Ciento Setenta y Siete Pesos 92/100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Asignaciones, Subsidios y Otras Ayudas (Transferencias Internas y Asignaciones al Sector Público, Transferencias al Resto de Sector Público, Subsidios y Subvenciones, Ayudas Sociales, Pensiones Y 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Intereses, Comisiones y Otros Gastos de la Deuda Pública (Intereses de la 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79B124D4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694,192.73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Seiscientos Noventa y Cuatro Mil Ciento Noventa y Dos Pesos 73/100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lastRenderedPageBreak/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3009AE7A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108,661.32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Ciento Ocho Mil Seiscientos Sesenta y Un Pesos 32/100 M.N.</w:t>
      </w:r>
      <w:r w:rsidR="000E7AB5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2E27F5EE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6209ED22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02"/>
        <w:gridCol w:w="1604"/>
        <w:gridCol w:w="1602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1245D7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1245D7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1245D7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41840554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3E13F0">
              <w:rPr>
                <w:rFonts w:ascii="Arial" w:hAnsi="Arial" w:cs="Arial"/>
                <w:bCs/>
                <w:sz w:val="16"/>
                <w:szCs w:val="16"/>
              </w:rPr>
              <w:t>108,661.32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5CBB9874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2BBF5B4D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108,661.32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351B28F8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3E13F0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7CDC61B2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76438CB9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3DAA8D0E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3E13F0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30C8268B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625AB588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30BE2F27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108,661.32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75161D3C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178A1F19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108,661.32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5DB81A3C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694,192.73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Seiscientos Noventa y Cuatro Mil Ciento Noventa y Dos Pesos 73/100 M.N.</w:t>
      </w:r>
      <w:r w:rsidR="006049D2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09B0C7D8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747,661.25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Setecientos Cuarenta y Siete Mil Seiscientos Sesenta y Un Pesos 25/100 M.N.</w:t>
      </w:r>
      <w:r w:rsidR="00A77F2F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>sin embargo, es 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6A42F587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2CCE9F2E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1F3BB56E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-59,190.56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-Cincuenta y Nueve Mil Ciento Noventa Pesos 56/100 M.N.</w:t>
      </w:r>
      <w:r w:rsidR="002D304B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350"/>
        <w:gridCol w:w="1352"/>
        <w:gridCol w:w="1350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197184B9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3E13F0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3E086486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694,192.73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58662190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3E13F0">
              <w:rPr>
                <w:rFonts w:ascii="Arial" w:hAnsi="Arial" w:cs="Arial"/>
                <w:bCs/>
                <w:sz w:val="16"/>
                <w:szCs w:val="16"/>
              </w:rPr>
              <w:t>694,192.73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43F87423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747,661.25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76EDB169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243DE764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747,661.25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0BC8C0CC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1D3E743E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56BB2585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39AFB4F0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0AADB373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14323F31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73FC5344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-59,190.56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26ADE43E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15AD8CBB" w:rsidR="009A13DF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59,190.56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75548C84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688,470.69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51ABACD0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694,192.73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361C6CE4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1,382,663.42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1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1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>evaluar la capacidad que tiene para generar efectivo y equivalentes al efectivo, determinar las necesidades de este para utilizar esos flujos de efectivo y poder tomar decisiones económicas, así mismo a través de este estado se pueden analizar los cambios 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637CDD79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E13F0">
        <w:rPr>
          <w:rFonts w:ascii="Arial" w:eastAsia="Times New Roman" w:hAnsi="Arial" w:cs="Arial"/>
          <w:b/>
          <w:sz w:val="20"/>
          <w:szCs w:val="20"/>
          <w:lang w:eastAsia="es-ES"/>
        </w:rPr>
        <w:t>761,961.56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3E13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Setecientos Sesenta y Un Mil Novecientos Sesenta y Un Pesos 56/100 M.N.</w:t>
      </w:r>
      <w:r w:rsidR="00887429" w:rsidRPr="001245D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1245D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0"/>
        <w:gridCol w:w="1405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lastRenderedPageBreak/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0308D812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246,572.18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4A66CECD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462,277.94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7269719C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598E5F8A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3DB1EB80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57C11EE8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53,111.44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1245D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67D4F3BA" w:rsidR="009A13DF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1245D7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6BC88E3E" w:rsidR="009A13DF" w:rsidRPr="001245D7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245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3E1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761,961.56</w:t>
            </w:r>
          </w:p>
        </w:tc>
      </w:tr>
    </w:tbl>
    <w:p w14:paraId="40130E64" w14:textId="48494F10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2"/>
        <w:gridCol w:w="1884"/>
      </w:tblGrid>
      <w:tr w:rsidR="00C42E85" w:rsidRPr="00035E52" w14:paraId="5DEF23A5" w14:textId="77777777" w:rsidTr="001245D7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7EAF5731" w:rsidR="00C42E85" w:rsidRPr="008D3573" w:rsidRDefault="003E13F0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0.00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490E4EA1" w:rsidR="00C42E85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12CE942E" w:rsidR="00C42E85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11012388" w:rsidR="00C42E85" w:rsidRPr="008D3573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7B8A3533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6"/>
        <w:gridCol w:w="185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10A6BA6C" w:rsidR="00366377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694,192.73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2DB44411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6CBDA62D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1B22EF90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786B1925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74C51A7C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3AD83FA8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lastRenderedPageBreak/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759C9F4C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29B74686" w:rsidR="00366377" w:rsidRPr="00E00DFA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159F48F1" w:rsidR="00366377" w:rsidRPr="001245D7" w:rsidRDefault="003E13F0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694,192.73</w:t>
            </w:r>
          </w:p>
        </w:tc>
      </w:tr>
    </w:tbl>
    <w:p w14:paraId="10FA8455" w14:textId="1ABE07CB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6"/>
        <w:gridCol w:w="2371"/>
      </w:tblGrid>
      <w:tr w:rsidR="00E93AD8" w14:paraId="0BDCF240" w14:textId="77777777" w:rsidTr="001245D7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7E002D16" w:rsidR="00E93AD8" w:rsidRPr="001245D7" w:rsidRDefault="003E13F0" w:rsidP="001245D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OOAPAS NUMARAN</w:t>
            </w:r>
          </w:p>
        </w:tc>
      </w:tr>
      <w:tr w:rsidR="00E93AD8" w14:paraId="20C3A69C" w14:textId="77777777" w:rsidTr="001245D7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1245D7" w:rsidRDefault="00E93AD8" w:rsidP="001245D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1245D7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56BA52D7" w:rsidR="00E93AD8" w:rsidRPr="001245D7" w:rsidRDefault="003E13F0" w:rsidP="001245D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2021 AL 31 DE MARZO DE 2021</w:t>
            </w:r>
          </w:p>
          <w:p w14:paraId="5B47CFD3" w14:textId="35CF7BD1" w:rsidR="00921726" w:rsidRPr="001245D7" w:rsidRDefault="00921726" w:rsidP="001245D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1245D7" w:rsidRDefault="00E93AD8" w:rsidP="001245D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2BAD1CDF" w:rsidR="00E93AD8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994,370.65</w:t>
            </w:r>
          </w:p>
        </w:tc>
      </w:tr>
      <w:tr w:rsidR="00E93AD8" w14:paraId="76C34452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1245D7" w:rsidRDefault="00E93AD8" w:rsidP="001245D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53F080C8" w:rsidR="00E93AD8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1245D7" w:rsidRDefault="00E93AD8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4E3C80A2" w:rsidR="00E93AD8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1245D7" w:rsidRDefault="00E93AD8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1111473C" w:rsidR="00E93AD8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1245D7" w:rsidRDefault="00E93AD8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4F0BC622" w:rsidR="00E93AD8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1245D7" w:rsidRDefault="00E93AD8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1741DA58" w:rsidR="00E93AD8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1245D7" w:rsidRDefault="00921726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54478C48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1245D7" w:rsidRDefault="00921726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66E6126B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1245D7" w:rsidRDefault="00921726" w:rsidP="001245D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5747B86D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1245D7" w:rsidRDefault="00921726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0FC4583A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1245D7" w:rsidRDefault="00921726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1FC0176D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1245D7" w:rsidRDefault="00921726" w:rsidP="001245D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2E935DFC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1245D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1245D7" w:rsidRDefault="00921726" w:rsidP="001245D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4. </w:t>
            </w:r>
            <w:r w:rsidR="000F3F69" w:rsidRPr="001245D7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3FB0FB12" w:rsidR="00921726" w:rsidRPr="001245D7" w:rsidRDefault="003E13F0" w:rsidP="001245D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994,370.65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5"/>
        <w:gridCol w:w="2014"/>
      </w:tblGrid>
      <w:tr w:rsidR="00976B01" w:rsidRPr="00BF487F" w14:paraId="3075C891" w14:textId="77777777" w:rsidTr="001245D7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7B991872" w:rsidR="00976B01" w:rsidRPr="001245D7" w:rsidRDefault="003E13F0" w:rsidP="001245D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OOAPAS NUMARAN</w:t>
            </w:r>
          </w:p>
        </w:tc>
      </w:tr>
      <w:tr w:rsidR="00976B01" w:rsidRPr="00BF487F" w14:paraId="503517DC" w14:textId="77777777" w:rsidTr="001245D7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1245D7" w:rsidRDefault="00976B01" w:rsidP="001245D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1245D7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00F038D2" w:rsidR="00976B01" w:rsidRPr="001245D7" w:rsidRDefault="003E13F0" w:rsidP="001245D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2021 AL 31 DE MARZO DE 2021</w:t>
            </w:r>
          </w:p>
          <w:p w14:paraId="2C23680C" w14:textId="77777777" w:rsidR="00BF487F" w:rsidRPr="001245D7" w:rsidRDefault="00BF487F" w:rsidP="001245D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1245D7" w:rsidRDefault="00976B01" w:rsidP="001245D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1245D7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1245D7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2BED6B05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300,177.92</w:t>
            </w:r>
          </w:p>
        </w:tc>
      </w:tr>
      <w:tr w:rsidR="00976B01" w:rsidRPr="00BF487F" w14:paraId="3641631D" w14:textId="77777777" w:rsidTr="001245D7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1245D7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0B437897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976B01" w:rsidRPr="00BF487F" w14:paraId="17DABF6E" w14:textId="77777777" w:rsidTr="001245D7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1245D7" w:rsidRDefault="00976B01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65BBC1C1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1245D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1245D7" w:rsidRDefault="00976B01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2D718F0D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1245D7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1245D7" w:rsidRDefault="00976B01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5405F155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44911A07" w14:textId="77777777" w:rsidTr="001245D7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1245D7" w:rsidRDefault="00976B01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6D3A79E3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87A8BC7" w14:textId="77777777" w:rsidTr="001245D7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1245D7" w:rsidRDefault="00976B01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2B6739EB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1245D7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1245D7" w:rsidRDefault="00976B01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6B7FF653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1245D7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22BB1A11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1245D7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04FFCD58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17AEB10" w14:textId="77777777" w:rsidTr="001245D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0825B389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1245D7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2B638B4E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5EE3416" w14:textId="77777777" w:rsidTr="001245D7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56DA07B7" w:rsidR="00976B01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96387D9" w14:textId="77777777" w:rsidTr="001245D7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5508C1FE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D0B0900" w14:textId="77777777" w:rsidTr="001245D7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48350C57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1245D7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1AF9073E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1245D7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7A076D49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1245D7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1C8F2990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1245D7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445BD5F5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1245D7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39DE692B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1245D7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484891F6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1245D7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614F2BAC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637212" w14:textId="77777777" w:rsidTr="001245D7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267ADA47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1245D7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1245D7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7C9A62EE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A15167" w:rsidRPr="00BF487F" w14:paraId="7B4A0956" w14:textId="77777777" w:rsidTr="001245D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1F5C8511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1245D7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5D4C37EA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1245D7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lastRenderedPageBreak/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28C0509D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1245D7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078EB4BB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1245D7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1C863D36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1245D7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0F50DECD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1245D7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1245D7" w:rsidRDefault="00A15167" w:rsidP="001245D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245D7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4ADE0AB0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F369E15" w14:textId="77777777" w:rsidTr="001245D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1245D7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245D7">
              <w:rPr>
                <w:rFonts w:ascii="Arial" w:hAnsi="Arial" w:cs="Arial"/>
                <w:b/>
                <w:bCs/>
                <w:sz w:val="16"/>
                <w:szCs w:val="16"/>
              </w:rPr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75BDBCCA" w:rsidR="00A15167" w:rsidRPr="001245D7" w:rsidRDefault="003E13F0" w:rsidP="001245D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300,177.92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3473DBDC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5EFDC664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1D918AF5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0B06D360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010E6834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38CAF9F8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19E0A4BD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3F4EECC1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79AB79B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75EBDBF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65ADEBF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2152F67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04BFEDE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6EB8BF5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6ADF769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62B8AA0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558521E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6F5A39D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72BA6A8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39D6BAA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74D8BDD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0A47976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3B97FE6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71E5FFE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02F80C5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1B761FC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43430DB5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044FBB6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57D14EF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00B41DA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39F8314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15335734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4B2DFA2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4,839,750.65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Cuatro Millones Ochocientos Treinta y Nueve Mil Setecientos Cincuenta Pesos 65/100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055AD55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3,845,380.00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Tres Millones Ochocientos Cuarenta y Cinco Mil Trescientos Ochenta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0E088532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3E2AB74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</w:t>
      </w:r>
      <w:r w:rsidRPr="00035E52">
        <w:rPr>
          <w:rFonts w:ascii="Arial" w:hAnsi="Arial" w:cs="Arial"/>
          <w:sz w:val="20"/>
          <w:szCs w:val="20"/>
        </w:rPr>
        <w:lastRenderedPageBreak/>
        <w:t>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236AF6D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994,370.65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Novecientos Noventa y Cuatro Mil Trescientos Setenta Pesos 65/100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2B011910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4,839,750.65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Cuatro Millones Ochocientos Treinta y Nueve Mil Setecientos Cincuenta Pesos 65/100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52AC5583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4,539,572.73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Cuatro Millones Quinientos Treinta y Nueve Mil Quinientos Setenta y Dos Pesos 73/100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402B909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>epresenta el importe de los 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4C1EFEC8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325FD0DB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1BB10756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documentos equivalentes debidamente aprobados por la autoridad competente. Su saldo representa el Presupuesto de Egresos Ejercido pendiente de pagar. </w:t>
      </w:r>
    </w:p>
    <w:p w14:paraId="292ECF06" w14:textId="09DE243B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13F0">
        <w:rPr>
          <w:rFonts w:ascii="Arial" w:hAnsi="Arial" w:cs="Arial"/>
          <w:bCs/>
          <w:sz w:val="20"/>
          <w:szCs w:val="20"/>
        </w:rPr>
        <w:t>300,177.92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3E13F0">
        <w:rPr>
          <w:rFonts w:ascii="Arial" w:hAnsi="Arial" w:cs="Arial"/>
          <w:b/>
          <w:bCs/>
          <w:sz w:val="20"/>
          <w:szCs w:val="20"/>
        </w:rPr>
        <w:t>Trescientos Mil Ciento Setenta y Siete Pesos 92/100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lastRenderedPageBreak/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2A20AFD8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1245D7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t>2.- PANORAMA ECONÓMICO Y FINANCIERO</w:t>
      </w:r>
      <w:r w:rsidR="00FF359F" w:rsidRPr="001245D7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4306C517" w:rsidR="00FF359F" w:rsidRPr="001245D7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75C3D21A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2" w:name="_Hlk43120490"/>
    </w:p>
    <w:p w14:paraId="4A70BEF0" w14:textId="74602BF9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2"/>
    <w:p w14:paraId="6561D2C7" w14:textId="77777777" w:rsidR="00C77936" w:rsidRPr="001245D7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2883EB77" w:rsidR="00BB5841" w:rsidRPr="001245D7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1245D7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67ECFF62" w:rsidR="00DE5F57" w:rsidRPr="001245D7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0A0E3390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5DDCD06F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1245D7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7B352A35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41A12512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5E17FA14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t xml:space="preserve">12.- </w:t>
      </w: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58E1C999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68FFE7D8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 xml:space="preserve">14.- </w:t>
      </w: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1245D7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3C6E2D93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1245D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1245D7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69D72DA7" w:rsidR="00DE5F57" w:rsidRPr="001245D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1245D7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7EFF43EB" w:rsidR="00265E9A" w:rsidRPr="001245D7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1245D7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245D7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1245D7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1245D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21DD8FED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6366EA0D" w:rsidR="007B7735" w:rsidRDefault="003E13F0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OOAPAS NUMARAN</w:t>
      </w:r>
      <w:r w:rsidR="00354D6F" w:rsidRPr="001245D7">
        <w:rPr>
          <w:bCs/>
          <w:sz w:val="20"/>
          <w:lang w:val="es-MX"/>
        </w:rPr>
        <w:t xml:space="preserve">, </w:t>
      </w:r>
      <w:r>
        <w:rPr>
          <w:sz w:val="20"/>
        </w:rPr>
        <w:t>AL 31 DE MARZO DE 2021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98"/>
      </w:tblGrid>
      <w:tr w:rsidR="007B7735" w14:paraId="5BECD2BC" w14:textId="77777777" w:rsidTr="001245D7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1245D7" w:rsidRDefault="00C80043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1245D7" w:rsidRDefault="00C80043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50711D45" w14:textId="77777777" w:rsidR="007B7735" w:rsidRPr="001245D7" w:rsidRDefault="007B7735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1245D7">
              <w:rPr>
                <w:b/>
                <w:sz w:val="20"/>
              </w:rPr>
              <w:t>FIRMAS</w:t>
            </w:r>
          </w:p>
          <w:p w14:paraId="55AAE592" w14:textId="77777777" w:rsidR="00C80043" w:rsidRPr="001245D7" w:rsidRDefault="00C80043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1245D7" w:rsidRDefault="00C80043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1245D7">
        <w:tc>
          <w:tcPr>
            <w:tcW w:w="4819" w:type="dxa"/>
            <w:shd w:val="clear" w:color="auto" w:fill="auto"/>
          </w:tcPr>
          <w:p w14:paraId="36F2FF04" w14:textId="3EBED775" w:rsidR="007B7735" w:rsidRPr="001245D7" w:rsidRDefault="003E13F0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DANIEL ZARATE ESTRADA</w:t>
            </w:r>
          </w:p>
          <w:p w14:paraId="275D58FB" w14:textId="0A949B62" w:rsidR="007B7735" w:rsidRPr="001245D7" w:rsidRDefault="003E13F0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309D663F" w:rsidR="007B7735" w:rsidRPr="001245D7" w:rsidRDefault="003E13F0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ARQ. ROGELIO SOLORIO QUINTANA</w:t>
            </w:r>
          </w:p>
          <w:p w14:paraId="2BE7EB44" w14:textId="39FB8D70" w:rsidR="007B7735" w:rsidRPr="001245D7" w:rsidRDefault="003E13F0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DIRECTOR DEL OOAPAS</w:t>
            </w:r>
          </w:p>
          <w:p w14:paraId="7B3958C1" w14:textId="77777777" w:rsidR="006813BB" w:rsidRPr="001245D7" w:rsidRDefault="006813BB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1245D7" w:rsidRDefault="006813BB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1245D7">
        <w:tc>
          <w:tcPr>
            <w:tcW w:w="4819" w:type="dxa"/>
            <w:shd w:val="clear" w:color="auto" w:fill="auto"/>
          </w:tcPr>
          <w:p w14:paraId="2274D87F" w14:textId="49DF4EFC" w:rsidR="007B7735" w:rsidRPr="001245D7" w:rsidRDefault="003E13F0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JAVIER SANCHEZ ALBA</w:t>
            </w:r>
          </w:p>
          <w:p w14:paraId="3D2103AD" w14:textId="0EAE6608" w:rsidR="007B7735" w:rsidRPr="001245D7" w:rsidRDefault="003E13F0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COMISARIO</w:t>
            </w:r>
          </w:p>
        </w:tc>
        <w:tc>
          <w:tcPr>
            <w:tcW w:w="4819" w:type="dxa"/>
            <w:shd w:val="clear" w:color="auto" w:fill="auto"/>
          </w:tcPr>
          <w:p w14:paraId="05FF220E" w14:textId="538CF73A" w:rsidR="007B7735" w:rsidRPr="001245D7" w:rsidRDefault="007B7735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620EE823" w14:textId="61F5605B" w:rsidR="007B7735" w:rsidRPr="001245D7" w:rsidRDefault="007B7735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70EC62A6" w14:textId="77777777" w:rsidR="006813BB" w:rsidRPr="001245D7" w:rsidRDefault="006813BB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1245D7" w:rsidRDefault="006813BB" w:rsidP="001245D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DA761B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</w:rPr>
      </w:pPr>
      <w:bookmarkStart w:id="3" w:name="_GoBack"/>
      <w:bookmarkEnd w:id="3"/>
    </w:p>
    <w:sectPr w:rsidR="00DB254E" w:rsidRPr="00DA761B" w:rsidSect="00256E75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90CA7" w14:textId="77777777" w:rsidR="00693B13" w:rsidRDefault="00693B13" w:rsidP="00524337">
      <w:pPr>
        <w:spacing w:after="0" w:line="240" w:lineRule="auto"/>
      </w:pPr>
      <w:r>
        <w:separator/>
      </w:r>
    </w:p>
  </w:endnote>
  <w:endnote w:type="continuationSeparator" w:id="0">
    <w:p w14:paraId="05DFB04B" w14:textId="77777777" w:rsidR="00693B13" w:rsidRDefault="00693B13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2AAE" w14:textId="279BE751" w:rsidR="00DE5F57" w:rsidRDefault="00DA761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5BB5C5" wp14:editId="0BC1DF30">
              <wp:simplePos x="0" y="0"/>
              <wp:positionH relativeFrom="page">
                <wp:posOffset>3248025</wp:posOffset>
              </wp:positionH>
              <wp:positionV relativeFrom="page">
                <wp:posOffset>9441815</wp:posOffset>
              </wp:positionV>
              <wp:extent cx="1282700" cy="343535"/>
              <wp:effectExtent l="38100" t="19050" r="31750" b="0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EFD81B7" w14:textId="77777777" w:rsidR="00DE5F57" w:rsidRPr="001245D7" w:rsidRDefault="00DE5F5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343C0" w:rsidRPr="001245D7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1245D7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BB5C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743.45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" filled="f" strokecolor="#71a0dc">
              <v:textbox>
                <w:txbxContent>
                  <w:p w14:paraId="6EFD81B7" w14:textId="77777777" w:rsidR="00DE5F57" w:rsidRPr="001245D7" w:rsidRDefault="00DE5F57">
                    <w:pPr>
                      <w:jc w:val="center"/>
                      <w:rPr>
                        <w:color w:val="4472C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3343C0" w:rsidRPr="001245D7">
                      <w:rPr>
                        <w:noProof/>
                        <w:color w:val="4472C4"/>
                      </w:rPr>
                      <w:t>2</w:t>
                    </w:r>
                    <w:r w:rsidRPr="001245D7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43069" w14:textId="77777777" w:rsidR="00693B13" w:rsidRDefault="00693B13" w:rsidP="00524337">
      <w:pPr>
        <w:spacing w:after="0" w:line="240" w:lineRule="auto"/>
      </w:pPr>
      <w:r>
        <w:separator/>
      </w:r>
    </w:p>
  </w:footnote>
  <w:footnote w:type="continuationSeparator" w:id="0">
    <w:p w14:paraId="207402AC" w14:textId="77777777" w:rsidR="00693B13" w:rsidRDefault="00693B13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5ACE" w14:textId="6E319303" w:rsidR="00DE5F57" w:rsidRPr="001245D7" w:rsidRDefault="00DE5F57" w:rsidP="001245D7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1245D7">
      <w:rPr>
        <w:rFonts w:ascii="Arial" w:eastAsia="Times New Roman" w:hAnsi="Arial" w:cs="Arial"/>
        <w:sz w:val="24"/>
        <w:szCs w:val="24"/>
      </w:rPr>
      <w:tab/>
    </w:r>
    <w:r w:rsidRPr="001245D7">
      <w:rPr>
        <w:rFonts w:ascii="Arial" w:eastAsia="Times New Roman" w:hAnsi="Arial" w:cs="Arial"/>
        <w:sz w:val="24"/>
        <w:szCs w:val="24"/>
      </w:rPr>
      <w:tab/>
      <w:t>NOTAS A LOS ESTADOS FINANCIEROS</w:t>
    </w:r>
    <w:r w:rsidRPr="001245D7">
      <w:rPr>
        <w:rFonts w:ascii="Arial" w:eastAsia="Times New Roman" w:hAnsi="Arial" w:cs="Arial"/>
        <w:sz w:val="24"/>
        <w:szCs w:val="24"/>
      </w:rPr>
      <w:tab/>
    </w:r>
    <w:r w:rsidRPr="001245D7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45D7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30A2"/>
    <w:rsid w:val="001E3369"/>
    <w:rsid w:val="001E3F9A"/>
    <w:rsid w:val="001E4EC7"/>
    <w:rsid w:val="001E5D71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13F0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3B13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ECE"/>
    <w:rsid w:val="00DA036A"/>
    <w:rsid w:val="00DA053A"/>
    <w:rsid w:val="00DA18BF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61B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024B"/>
  <w15:docId w15:val="{A5CA81F4-6B96-4A69-AC37-B7E824D4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E945-23DB-4FEC-9522-56D13292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16555</Words>
  <Characters>91053</Characters>
  <Application>Microsoft Office Word</Application>
  <DocSecurity>0</DocSecurity>
  <Lines>758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Contador</cp:lastModifiedBy>
  <cp:revision>2</cp:revision>
  <cp:lastPrinted>2021-04-29T15:56:00Z</cp:lastPrinted>
  <dcterms:created xsi:type="dcterms:W3CDTF">2021-04-29T15:56:00Z</dcterms:created>
  <dcterms:modified xsi:type="dcterms:W3CDTF">2021-04-29T15:56:00Z</dcterms:modified>
</cp:coreProperties>
</file>